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C17FA" w14:paraId="3FAC026B" w14:textId="77777777">
        <w:tc>
          <w:tcPr>
            <w:tcW w:w="9747" w:type="dxa"/>
            <w:shd w:val="clear" w:color="auto" w:fill="000000" w:themeFill="text1"/>
          </w:tcPr>
          <w:p w14:paraId="562AB699" w14:textId="77777777" w:rsidR="008C17FA" w:rsidRDefault="00D70926">
            <w:pPr>
              <w:ind w:right="215"/>
              <w:jc w:val="both"/>
              <w:rPr>
                <w:rFonts w:cstheme="minorHAnsi"/>
                <w:b/>
                <w:bCs/>
                <w:spacing w:val="5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br w:type="page"/>
            </w:r>
            <w:r>
              <w:rPr>
                <w:rFonts w:cstheme="minorHAnsi"/>
                <w:bCs/>
                <w:spacing w:val="5"/>
                <w:w w:val="105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bCs/>
                <w:spacing w:val="5"/>
                <w:w w:val="105"/>
                <w:sz w:val="24"/>
                <w:szCs w:val="24"/>
              </w:rPr>
              <w:t>APPENDIX A</w:t>
            </w:r>
          </w:p>
        </w:tc>
      </w:tr>
      <w:tr w:rsidR="008C17FA" w14:paraId="38327E5C" w14:textId="77777777">
        <w:tc>
          <w:tcPr>
            <w:tcW w:w="9747" w:type="dxa"/>
          </w:tcPr>
          <w:p w14:paraId="44E59FDB" w14:textId="77777777" w:rsidR="008C17FA" w:rsidRDefault="00D70926">
            <w:pPr>
              <w:ind w:right="215"/>
              <w:jc w:val="both"/>
              <w:rPr>
                <w:rFonts w:cstheme="minorHAnsi"/>
                <w:b/>
                <w:bCs/>
                <w:spacing w:val="5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5"/>
                <w:w w:val="105"/>
                <w:sz w:val="24"/>
                <w:szCs w:val="24"/>
              </w:rPr>
              <w:t>Disqualification from holding a governorship</w:t>
            </w:r>
          </w:p>
        </w:tc>
      </w:tr>
    </w:tbl>
    <w:p w14:paraId="0426552F" w14:textId="77777777" w:rsidR="008C17FA" w:rsidRDefault="008C17FA">
      <w:pPr>
        <w:ind w:left="-142" w:right="-613"/>
        <w:jc w:val="both"/>
        <w:rPr>
          <w:rFonts w:cstheme="minorHAnsi"/>
          <w:b/>
          <w:bCs/>
          <w:spacing w:val="5"/>
          <w:w w:val="105"/>
          <w:sz w:val="24"/>
          <w:szCs w:val="24"/>
        </w:rPr>
      </w:pPr>
    </w:p>
    <w:p w14:paraId="4D9EA3AC" w14:textId="77777777" w:rsidR="008C17FA" w:rsidRDefault="00D70926">
      <w:pPr>
        <w:ind w:left="-142" w:right="-613"/>
        <w:jc w:val="both"/>
        <w:rPr>
          <w:rFonts w:cstheme="minorHAnsi"/>
          <w:b/>
          <w:bCs/>
          <w:spacing w:val="-6"/>
          <w:w w:val="105"/>
          <w:sz w:val="24"/>
          <w:szCs w:val="24"/>
        </w:rPr>
      </w:pPr>
      <w:r>
        <w:rPr>
          <w:rFonts w:cstheme="minorHAnsi"/>
          <w:b/>
          <w:bCs/>
          <w:spacing w:val="5"/>
          <w:w w:val="105"/>
          <w:sz w:val="24"/>
          <w:szCs w:val="24"/>
        </w:rPr>
        <w:t xml:space="preserve">Regulations disqualify certain individuals from becoming a governor. Before your </w:t>
      </w:r>
      <w:r>
        <w:rPr>
          <w:rFonts w:cstheme="minorHAnsi"/>
          <w:b/>
          <w:bCs/>
          <w:spacing w:val="-1"/>
          <w:w w:val="105"/>
          <w:sz w:val="24"/>
          <w:szCs w:val="24"/>
        </w:rPr>
        <w:t xml:space="preserve">appointment can be considered you are required to confirm that you are not disqualified </w:t>
      </w:r>
      <w:r>
        <w:rPr>
          <w:rFonts w:cstheme="minorHAnsi"/>
          <w:b/>
          <w:bCs/>
          <w:spacing w:val="7"/>
          <w:w w:val="105"/>
          <w:sz w:val="24"/>
          <w:szCs w:val="24"/>
        </w:rPr>
        <w:t xml:space="preserve">from becoming a governor. You are required to notify the clerk, in writing, if you </w:t>
      </w:r>
      <w:r>
        <w:rPr>
          <w:rFonts w:cstheme="minorHAnsi"/>
          <w:b/>
          <w:bCs/>
          <w:spacing w:val="-4"/>
          <w:w w:val="105"/>
          <w:sz w:val="24"/>
          <w:szCs w:val="24"/>
        </w:rPr>
        <w:t>subsequently become disqualified from continuing as a governor.</w:t>
      </w:r>
    </w:p>
    <w:p w14:paraId="59F9CEC8" w14:textId="77777777" w:rsidR="008C17FA" w:rsidRDefault="00D70926">
      <w:pPr>
        <w:spacing w:before="252"/>
        <w:ind w:left="-142"/>
        <w:rPr>
          <w:rFonts w:cstheme="minorHAnsi"/>
          <w:b/>
          <w:bCs/>
          <w:spacing w:val="-6"/>
          <w:w w:val="105"/>
          <w:sz w:val="24"/>
          <w:szCs w:val="24"/>
        </w:rPr>
      </w:pPr>
      <w:r>
        <w:rPr>
          <w:rFonts w:cstheme="minorHAnsi"/>
          <w:b/>
          <w:bCs/>
          <w:spacing w:val="-6"/>
          <w:w w:val="105"/>
          <w:sz w:val="24"/>
          <w:szCs w:val="24"/>
        </w:rPr>
        <w:t xml:space="preserve">To qualify to become </w:t>
      </w:r>
      <w:r>
        <w:rPr>
          <w:rFonts w:cstheme="minorHAnsi"/>
          <w:b/>
          <w:bCs/>
          <w:spacing w:val="-6"/>
          <w:w w:val="105"/>
          <w:sz w:val="24"/>
          <w:szCs w:val="24"/>
        </w:rPr>
        <w:t>a Governor you must:</w:t>
      </w:r>
    </w:p>
    <w:p w14:paraId="5F7EAB91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rPr>
          <w:rFonts w:cstheme="minorHAnsi"/>
        </w:rPr>
      </w:pPr>
      <w:r>
        <w:rPr>
          <w:rFonts w:cstheme="minorHAnsi"/>
        </w:rPr>
        <w:t xml:space="preserve">be aged 18 or over at the date of your election or </w:t>
      </w:r>
      <w:proofErr w:type="gramStart"/>
      <w:r>
        <w:rPr>
          <w:rFonts w:cstheme="minorHAnsi"/>
        </w:rPr>
        <w:t>appointment;</w:t>
      </w:r>
      <w:proofErr w:type="gramEnd"/>
    </w:p>
    <w:p w14:paraId="1988BC82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rPr>
          <w:rFonts w:cstheme="minorHAnsi"/>
        </w:rPr>
      </w:pPr>
      <w:r>
        <w:rPr>
          <w:rFonts w:cstheme="minorHAnsi"/>
        </w:rPr>
        <w:t xml:space="preserve">not be a current student of the </w:t>
      </w:r>
      <w:proofErr w:type="gramStart"/>
      <w:r>
        <w:rPr>
          <w:rFonts w:cstheme="minorHAnsi"/>
        </w:rPr>
        <w:t>Academy;</w:t>
      </w:r>
      <w:proofErr w:type="gramEnd"/>
    </w:p>
    <w:p w14:paraId="2DB4911B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rPr>
          <w:rFonts w:cstheme="minorHAnsi"/>
        </w:rPr>
      </w:pPr>
      <w:r>
        <w:rPr>
          <w:rFonts w:cstheme="minorHAnsi"/>
        </w:rPr>
        <w:t xml:space="preserve">not be incapable by reason of illness or injury of managing or administrating your own </w:t>
      </w:r>
      <w:proofErr w:type="gramStart"/>
      <w:r>
        <w:rPr>
          <w:rFonts w:cstheme="minorHAnsi"/>
        </w:rPr>
        <w:t>affairs;</w:t>
      </w:r>
      <w:proofErr w:type="gramEnd"/>
    </w:p>
    <w:p w14:paraId="032F9666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jc w:val="both"/>
        <w:rPr>
          <w:rFonts w:cstheme="minorHAnsi"/>
        </w:rPr>
      </w:pPr>
      <w:r>
        <w:rPr>
          <w:rFonts w:cstheme="minorHAnsi"/>
          <w:spacing w:val="-6"/>
        </w:rPr>
        <w:t>not have had your estate sequestra</w:t>
      </w:r>
      <w:r>
        <w:rPr>
          <w:rFonts w:cstheme="minorHAnsi"/>
          <w:spacing w:val="-6"/>
        </w:rPr>
        <w:t xml:space="preserve">ted (temporarily repossessed) and the </w:t>
      </w:r>
      <w:r>
        <w:rPr>
          <w:rFonts w:cstheme="minorHAnsi"/>
        </w:rPr>
        <w:t xml:space="preserve">sequestration is not discharged, annulled or reduced; and be the subject of a bankruptcy restrictions order or an interim </w:t>
      </w:r>
      <w:proofErr w:type="gramStart"/>
      <w:r>
        <w:rPr>
          <w:rFonts w:cstheme="minorHAnsi"/>
        </w:rPr>
        <w:t>order;</w:t>
      </w:r>
      <w:proofErr w:type="gramEnd"/>
    </w:p>
    <w:p w14:paraId="53A97582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jc w:val="both"/>
        <w:rPr>
          <w:rFonts w:cstheme="minorHAnsi"/>
        </w:rPr>
      </w:pPr>
      <w:r>
        <w:rPr>
          <w:rFonts w:cstheme="minorHAnsi"/>
          <w:spacing w:val="-5"/>
        </w:rPr>
        <w:t xml:space="preserve">not be subject to a disqualification order or disqualification undertaking under the </w:t>
      </w:r>
      <w:r>
        <w:rPr>
          <w:rFonts w:cstheme="minorHAnsi"/>
        </w:rPr>
        <w:t>Comp</w:t>
      </w:r>
      <w:r>
        <w:rPr>
          <w:rFonts w:cstheme="minorHAnsi"/>
        </w:rPr>
        <w:t>any Directors Disqualification Act 1986 o</w:t>
      </w:r>
      <w:r>
        <w:rPr>
          <w:rFonts w:cstheme="minorHAnsi"/>
          <w:spacing w:val="2"/>
        </w:rPr>
        <w:t xml:space="preserve">r to an order made under section 429(2)(b) of the Insolvency Act 1986 </w:t>
      </w:r>
      <w:r>
        <w:rPr>
          <w:rFonts w:cstheme="minorHAnsi"/>
        </w:rPr>
        <w:t>(failure to pay under county court administration order</w:t>
      </w:r>
      <w:proofErr w:type="gramStart"/>
      <w:r>
        <w:rPr>
          <w:rFonts w:cstheme="minorHAnsi"/>
        </w:rPr>
        <w:t>);</w:t>
      </w:r>
      <w:proofErr w:type="gramEnd"/>
    </w:p>
    <w:p w14:paraId="270DEDBF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jc w:val="both"/>
        <w:rPr>
          <w:rFonts w:cstheme="minorHAnsi"/>
        </w:rPr>
      </w:pPr>
      <w:r>
        <w:rPr>
          <w:rFonts w:cstheme="minorHAnsi"/>
          <w:spacing w:val="-1"/>
        </w:rPr>
        <w:t xml:space="preserve">not have ceased to hold office to be a governor by virtue of any provision in the </w:t>
      </w:r>
      <w:r>
        <w:rPr>
          <w:rFonts w:cstheme="minorHAnsi"/>
          <w:spacing w:val="-1"/>
        </w:rPr>
        <w:t>Companies Act 2006 and not have been disqualified from acting as a trustee by virtue of section 178 of the Charities Act 2011 (or any statutory re-enactment or modification to that provision</w:t>
      </w:r>
      <w:proofErr w:type="gramStart"/>
      <w:r>
        <w:rPr>
          <w:rFonts w:cstheme="minorHAnsi"/>
          <w:spacing w:val="-1"/>
        </w:rPr>
        <w:t>);</w:t>
      </w:r>
      <w:proofErr w:type="gramEnd"/>
    </w:p>
    <w:p w14:paraId="5C6689FB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jc w:val="both"/>
        <w:rPr>
          <w:rFonts w:cstheme="minorHAnsi"/>
        </w:rPr>
      </w:pPr>
      <w:r>
        <w:rPr>
          <w:rFonts w:cstheme="minorHAnsi"/>
          <w:spacing w:val="-1"/>
        </w:rPr>
        <w:t>not have been removed from the office of charity trustee or tru</w:t>
      </w:r>
      <w:r>
        <w:rPr>
          <w:rFonts w:cstheme="minorHAnsi"/>
          <w:spacing w:val="-1"/>
        </w:rPr>
        <w:t xml:space="preserve">stee for a charity </w:t>
      </w:r>
      <w:r>
        <w:rPr>
          <w:rFonts w:cstheme="minorHAnsi"/>
          <w:spacing w:val="-5"/>
        </w:rPr>
        <w:t xml:space="preserve">by an order made by the Charity Commissioners or the High Court on the grounds of any misconduct or </w:t>
      </w:r>
      <w:r>
        <w:rPr>
          <w:rFonts w:cstheme="minorHAnsi"/>
        </w:rPr>
        <w:t>mismanagement in the administration of the charity for which he/she was responsible or to which he/she was privy, or which he/she by his/</w:t>
      </w:r>
      <w:r>
        <w:rPr>
          <w:rFonts w:cstheme="minorHAnsi"/>
        </w:rPr>
        <w:t xml:space="preserve">her conduct contributed or </w:t>
      </w:r>
      <w:proofErr w:type="gramStart"/>
      <w:r>
        <w:rPr>
          <w:rFonts w:cstheme="minorHAnsi"/>
        </w:rPr>
        <w:t>facilitated;</w:t>
      </w:r>
      <w:proofErr w:type="gramEnd"/>
    </w:p>
    <w:p w14:paraId="64C85AF7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rPr>
          <w:rFonts w:cstheme="minorHAnsi"/>
        </w:rPr>
      </w:pPr>
      <w:r>
        <w:rPr>
          <w:rFonts w:cstheme="minorHAnsi"/>
          <w:spacing w:val="-5"/>
        </w:rPr>
        <w:t xml:space="preserve">not be included in the list of teachers or workers prohibited or restricted from </w:t>
      </w:r>
      <w:r>
        <w:rPr>
          <w:rFonts w:cstheme="minorHAnsi"/>
        </w:rPr>
        <w:t xml:space="preserve">working with children or young </w:t>
      </w:r>
      <w:proofErr w:type="gramStart"/>
      <w:r>
        <w:rPr>
          <w:rFonts w:cstheme="minorHAnsi"/>
        </w:rPr>
        <w:t>people;</w:t>
      </w:r>
      <w:proofErr w:type="gramEnd"/>
    </w:p>
    <w:p w14:paraId="7556AE70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rPr>
          <w:rFonts w:cstheme="minorHAnsi"/>
        </w:rPr>
      </w:pPr>
      <w:r>
        <w:rPr>
          <w:rFonts w:cstheme="minorHAnsi"/>
        </w:rPr>
        <w:t xml:space="preserve">not be disqualified from working with </w:t>
      </w:r>
      <w:proofErr w:type="gramStart"/>
      <w:r>
        <w:rPr>
          <w:rFonts w:cstheme="minorHAnsi"/>
        </w:rPr>
        <w:t>children;</w:t>
      </w:r>
      <w:proofErr w:type="gramEnd"/>
    </w:p>
    <w:p w14:paraId="196EF06E" w14:textId="77777777" w:rsidR="008C17FA" w:rsidRDefault="00D70926">
      <w:pPr>
        <w:widowControl w:val="0"/>
        <w:numPr>
          <w:ilvl w:val="0"/>
          <w:numId w:val="2"/>
        </w:numPr>
        <w:tabs>
          <w:tab w:val="clear" w:pos="1080"/>
        </w:tabs>
        <w:kinsoku w:val="0"/>
        <w:spacing w:before="240" w:after="0" w:line="240" w:lineRule="auto"/>
        <w:ind w:left="425" w:right="-612" w:hanging="567"/>
        <w:jc w:val="both"/>
        <w:rPr>
          <w:rFonts w:cstheme="minorHAnsi"/>
        </w:rPr>
      </w:pPr>
      <w:r>
        <w:rPr>
          <w:rFonts w:cstheme="minorHAnsi"/>
        </w:rPr>
        <w:t>not at any time been convicted of any criminal o</w:t>
      </w:r>
      <w:r>
        <w:rPr>
          <w:rFonts w:cstheme="minorHAnsi"/>
        </w:rPr>
        <w:t>ffence, excluding any that have been spent under the Rehabilitation of Offenders Act 1974 as amended, and excluding any offence for which the maximum sentence is a fine or a lesser sentence except where a person has been convicted of any offence which fall</w:t>
      </w:r>
      <w:r>
        <w:rPr>
          <w:rFonts w:cstheme="minorHAnsi"/>
        </w:rPr>
        <w:t xml:space="preserve">s under section 178 of the Charities Act </w:t>
      </w:r>
      <w:proofErr w:type="gramStart"/>
      <w:r>
        <w:rPr>
          <w:rFonts w:cstheme="minorHAnsi"/>
        </w:rPr>
        <w:t>2011;</w:t>
      </w:r>
      <w:proofErr w:type="gramEnd"/>
    </w:p>
    <w:p w14:paraId="500A7B9C" w14:textId="77777777" w:rsidR="008C17FA" w:rsidRDefault="008C17FA">
      <w:pPr>
        <w:spacing w:before="80"/>
        <w:ind w:left="-142"/>
        <w:jc w:val="both"/>
        <w:rPr>
          <w:rFonts w:cstheme="minorHAnsi"/>
          <w:spacing w:val="-1"/>
        </w:rPr>
      </w:pPr>
    </w:p>
    <w:p w14:paraId="3D34ECBC" w14:textId="77777777" w:rsidR="008C17FA" w:rsidRDefault="00D70926">
      <w:pPr>
        <w:spacing w:before="80"/>
        <w:ind w:left="-142"/>
        <w:jc w:val="both"/>
        <w:rPr>
          <w:rFonts w:cstheme="minorHAnsi"/>
          <w:b/>
          <w:i/>
          <w:spacing w:val="-1"/>
        </w:rPr>
      </w:pPr>
      <w:r>
        <w:rPr>
          <w:rFonts w:cstheme="minorHAnsi"/>
          <w:b/>
          <w:i/>
          <w:spacing w:val="-1"/>
        </w:rPr>
        <w:t xml:space="preserve">Important please note:  </w:t>
      </w:r>
    </w:p>
    <w:p w14:paraId="326AB2B4" w14:textId="77777777" w:rsidR="008C17FA" w:rsidRDefault="00D70926">
      <w:pPr>
        <w:spacing w:after="0" w:line="240" w:lineRule="auto"/>
        <w:jc w:val="both"/>
      </w:pPr>
      <w:r>
        <w:rPr>
          <w:rFonts w:eastAsia="Times New Roman" w:cstheme="minorHAnsi"/>
          <w:b/>
          <w:i/>
          <w:sz w:val="24"/>
          <w:szCs w:val="24"/>
          <w:lang w:eastAsia="en-US"/>
        </w:rPr>
        <w:lastRenderedPageBreak/>
        <w:t>T</w:t>
      </w:r>
      <w:r>
        <w:rPr>
          <w:rFonts w:eastAsia="Times New Roman" w:cstheme="minorHAnsi"/>
          <w:b/>
          <w:i/>
          <w:sz w:val="24"/>
          <w:szCs w:val="24"/>
          <w:lang w:val="en-US"/>
        </w:rPr>
        <w:t>he school is strongly committed to safeguarding and promoting the welfare of children and young people and expects all staff and volunteers to share this commitment.   You shall be r</w:t>
      </w:r>
      <w:r>
        <w:rPr>
          <w:rFonts w:eastAsia="Times New Roman" w:cstheme="minorHAnsi"/>
          <w:b/>
          <w:i/>
          <w:sz w:val="24"/>
          <w:szCs w:val="24"/>
          <w:lang w:val="en-US"/>
        </w:rPr>
        <w:t>equired to undertake an enhanced DBS disclosure on appoint</w:t>
      </w:r>
      <w:r>
        <w:rPr>
          <w:rFonts w:ascii="Calibri" w:eastAsia="Times New Roman" w:hAnsi="Calibri" w:cs="Calibri"/>
          <w:b/>
          <w:i/>
          <w:sz w:val="24"/>
          <w:szCs w:val="24"/>
          <w:lang w:val="en-US"/>
        </w:rPr>
        <w:t>ment.</w:t>
      </w:r>
    </w:p>
    <w:sectPr w:rsidR="008C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07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218B" w14:textId="77777777" w:rsidR="00D70926" w:rsidRDefault="00D70926">
      <w:pPr>
        <w:spacing w:after="0" w:line="240" w:lineRule="auto"/>
      </w:pPr>
      <w:r>
        <w:separator/>
      </w:r>
    </w:p>
  </w:endnote>
  <w:endnote w:type="continuationSeparator" w:id="0">
    <w:p w14:paraId="144ACBA4" w14:textId="77777777" w:rsidR="00D70926" w:rsidRDefault="00D7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4900" w14:textId="77777777" w:rsidR="006A68EB" w:rsidRDefault="006A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4DE4" w14:textId="77777777" w:rsidR="006A68EB" w:rsidRDefault="006A6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896E" w14:textId="77777777" w:rsidR="006A68EB" w:rsidRDefault="006A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D054" w14:textId="77777777" w:rsidR="00D70926" w:rsidRDefault="00D70926">
      <w:pPr>
        <w:spacing w:after="0" w:line="240" w:lineRule="auto"/>
      </w:pPr>
      <w:r>
        <w:separator/>
      </w:r>
    </w:p>
  </w:footnote>
  <w:footnote w:type="continuationSeparator" w:id="0">
    <w:p w14:paraId="1480ECF9" w14:textId="77777777" w:rsidR="00D70926" w:rsidRDefault="00D7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4B42" w14:textId="77777777" w:rsidR="006A68EB" w:rsidRDefault="006A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5DD6" w14:textId="6CF60A8D" w:rsidR="008C17FA" w:rsidRDefault="006A68EB">
    <w:pPr>
      <w:pStyle w:val="Header"/>
    </w:pPr>
    <w:r>
      <w:rPr>
        <w:noProof/>
      </w:rPr>
      <w:drawing>
        <wp:inline distT="0" distB="0" distL="0" distR="0" wp14:anchorId="35FFAC59" wp14:editId="1B56451A">
          <wp:extent cx="6220981" cy="1112522"/>
          <wp:effectExtent l="0" t="0" r="889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981" cy="111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A84EE" w14:textId="77777777" w:rsidR="008C17FA" w:rsidRDefault="008C1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22FF" w14:textId="77777777" w:rsidR="006A68EB" w:rsidRDefault="006A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E19B"/>
    <w:multiLevelType w:val="singleLevel"/>
    <w:tmpl w:val="0DA01C90"/>
    <w:lvl w:ilvl="0">
      <w:start w:val="1"/>
      <w:numFmt w:val="decimal"/>
      <w:lvlText w:val="%1."/>
      <w:lvlJc w:val="left"/>
      <w:pPr>
        <w:tabs>
          <w:tab w:val="num" w:pos="1080"/>
        </w:tabs>
        <w:ind w:left="1368" w:hanging="1080"/>
      </w:pPr>
      <w:rPr>
        <w:rFonts w:ascii="Arial" w:hAnsi="Arial" w:cs="Arial"/>
        <w:snapToGrid/>
        <w:sz w:val="24"/>
        <w:szCs w:val="24"/>
      </w:rPr>
    </w:lvl>
  </w:abstractNum>
  <w:abstractNum w:abstractNumId="1" w15:restartNumberingAfterBreak="0">
    <w:nsid w:val="7E444DCF"/>
    <w:multiLevelType w:val="singleLevel"/>
    <w:tmpl w:val="CBB0D062"/>
    <w:lvl w:ilvl="0">
      <w:start w:val="1"/>
      <w:numFmt w:val="lowerRoman"/>
      <w:lvlText w:val="(%1)"/>
      <w:lvlJc w:val="right"/>
      <w:pPr>
        <w:tabs>
          <w:tab w:val="num" w:pos="567"/>
        </w:tabs>
        <w:ind w:left="567" w:hanging="39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FA"/>
    <w:rsid w:val="006A68EB"/>
    <w:rsid w:val="008C17FA"/>
    <w:rsid w:val="00D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D0DC"/>
  <w15:docId w15:val="{E59132BD-6228-4897-A58D-BA5D4B8E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Hodgson Academy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Emma Wallace</cp:lastModifiedBy>
  <cp:revision>2</cp:revision>
  <cp:lastPrinted>2015-01-09T09:54:00Z</cp:lastPrinted>
  <dcterms:created xsi:type="dcterms:W3CDTF">2023-05-04T11:02:00Z</dcterms:created>
  <dcterms:modified xsi:type="dcterms:W3CDTF">2023-05-04T11:02:00Z</dcterms:modified>
</cp:coreProperties>
</file>